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992E2" w14:textId="77777777" w:rsidR="00194B46" w:rsidRDefault="00194B46">
      <w:pPr>
        <w:spacing w:after="120"/>
        <w:jc w:val="center"/>
        <w:rPr>
          <w:rFonts w:cstheme="minorHAnsi"/>
          <w:color w:val="0070C0"/>
          <w:sz w:val="28"/>
        </w:rPr>
      </w:pPr>
    </w:p>
    <w:p w14:paraId="77C409BC" w14:textId="78174EFD" w:rsidR="00194B46" w:rsidRDefault="00660EC8">
      <w:pPr>
        <w:spacing w:after="120"/>
        <w:jc w:val="center"/>
        <w:rPr>
          <w:rFonts w:cstheme="minorHAnsi"/>
          <w:b/>
          <w:color w:val="0070C0"/>
          <w:sz w:val="32"/>
        </w:rPr>
      </w:pPr>
      <w:r>
        <w:rPr>
          <w:rFonts w:cstheme="minorHAnsi"/>
          <w:b/>
          <w:color w:val="0070C0"/>
          <w:sz w:val="32"/>
        </w:rPr>
        <w:t>Udhëzim për plotësimin e formularit për buxhet</w:t>
      </w:r>
    </w:p>
    <w:p w14:paraId="79876743" w14:textId="5A916EDF" w:rsidR="00194B46" w:rsidRDefault="00194B46">
      <w:pPr>
        <w:spacing w:after="120"/>
        <w:jc w:val="center"/>
        <w:rPr>
          <w:rFonts w:cstheme="minorHAnsi"/>
          <w:b/>
          <w:color w:val="0070C0"/>
          <w:sz w:val="28"/>
        </w:rPr>
      </w:pPr>
    </w:p>
    <w:p w14:paraId="47DF8DC4" w14:textId="7C4B1139" w:rsidR="00194B46" w:rsidRDefault="00660EC8">
      <w:pPr>
        <w:rPr>
          <w:color w:val="000000" w:themeColor="text1"/>
        </w:rPr>
      </w:pPr>
      <w:r>
        <w:rPr>
          <w:color w:val="000000" w:themeColor="text1"/>
        </w:rPr>
        <w:t>Ju lutemi plotësoni formularin për Buxhet (dokumenti Excel). Mos harroni të kontrolloni nëse aktivitetet e përshkruara në përshkrimin e projektit pasqyrohen në buxhetin e projektit.</w:t>
      </w:r>
    </w:p>
    <w:p w14:paraId="48BC9CE6" w14:textId="77777777" w:rsidR="00194B46" w:rsidRDefault="00194B46">
      <w:pPr>
        <w:rPr>
          <w:color w:val="000000" w:themeColor="text1"/>
          <w:u w:val="single"/>
        </w:rPr>
      </w:pPr>
    </w:p>
    <w:p w14:paraId="54C05FE7" w14:textId="469B7270" w:rsidR="00194B46" w:rsidRDefault="00660EC8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Ju lutemi kini kujdes sa më poshtë, kur plotësoni buxhetin:</w:t>
      </w:r>
    </w:p>
    <w:p w14:paraId="54820675" w14:textId="77777777" w:rsidR="00194B46" w:rsidRDefault="00194B46">
      <w:pPr>
        <w:rPr>
          <w:color w:val="000000" w:themeColor="text1"/>
          <w:u w:val="single"/>
        </w:rPr>
      </w:pPr>
    </w:p>
    <w:p w14:paraId="60BEBF83" w14:textId="77777777" w:rsidR="00194B46" w:rsidRDefault="00660EC8">
      <w:pPr>
        <w:pStyle w:val="ListParagraph"/>
        <w:numPr>
          <w:ilvl w:val="0"/>
          <w:numId w:val="14"/>
        </w:numPr>
        <w:spacing w:before="120" w:after="240" w:line="240" w:lineRule="auto"/>
        <w:jc w:val="both"/>
        <w:rPr>
          <w:color w:val="000000" w:themeColor="text1"/>
        </w:rPr>
      </w:pPr>
      <w:r>
        <w:rPr>
          <w:i/>
          <w:color w:val="000000" w:themeColor="text1"/>
        </w:rPr>
        <w:t xml:space="preserve">Kategoria 1. </w:t>
      </w:r>
      <w:r>
        <w:rPr>
          <w:b/>
          <w:i/>
          <w:color w:val="000000" w:themeColor="text1"/>
        </w:rPr>
        <w:t>Burimet njerëzore</w:t>
      </w:r>
      <w:r>
        <w:rPr>
          <w:color w:val="000000" w:themeColor="text1"/>
        </w:rPr>
        <w:t xml:space="preserve"> </w:t>
      </w:r>
      <w:r>
        <w:t xml:space="preserve"> </w:t>
      </w:r>
    </w:p>
    <w:p w14:paraId="39DB4664" w14:textId="77777777" w:rsidR="00194B46" w:rsidRDefault="00194B46">
      <w:pPr>
        <w:pStyle w:val="ListParagraph"/>
        <w:spacing w:before="120" w:after="240" w:line="240" w:lineRule="auto"/>
        <w:jc w:val="both"/>
        <w:rPr>
          <w:color w:val="000000" w:themeColor="text1"/>
        </w:rPr>
      </w:pPr>
    </w:p>
    <w:p w14:paraId="263CB511" w14:textId="1A5DA764" w:rsidR="00194B46" w:rsidRDefault="00660EC8">
      <w:pPr>
        <w:pStyle w:val="ListParagraph"/>
        <w:numPr>
          <w:ilvl w:val="1"/>
          <w:numId w:val="17"/>
        </w:numPr>
        <w:spacing w:before="120" w:after="24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Pagat bruto -</w:t>
      </w:r>
      <w:r>
        <w:rPr>
          <w:color w:val="000000" w:themeColor="text1"/>
        </w:rPr>
        <w:t xml:space="preserve"> duhet të përfshijë personelin e angazhuar për projektin, ndërsa i cili është </w:t>
      </w:r>
      <w:r>
        <w:rPr>
          <w:color w:val="000000" w:themeColor="text1"/>
          <w:u w:val="single"/>
        </w:rPr>
        <w:t>i punësuar</w:t>
      </w:r>
      <w:r>
        <w:rPr>
          <w:color w:val="000000" w:themeColor="text1"/>
        </w:rPr>
        <w:t xml:space="preserve"> në organizatën-aplikant / bashkë-aplikant. Duhet të përllogariten bruto pagat, përfshirë kompensimet e sigurimit social dhe shpenzime të tjera të ngjashme.</w:t>
      </w:r>
    </w:p>
    <w:p w14:paraId="4E802C9F" w14:textId="77777777" w:rsidR="00194B46" w:rsidRDefault="00194B46">
      <w:pPr>
        <w:pStyle w:val="ListParagraph"/>
        <w:spacing w:before="120" w:after="240" w:line="240" w:lineRule="auto"/>
        <w:ind w:left="1080"/>
        <w:jc w:val="both"/>
        <w:rPr>
          <w:color w:val="000000" w:themeColor="text1"/>
        </w:rPr>
      </w:pPr>
    </w:p>
    <w:p w14:paraId="2DD73EC6" w14:textId="2472F8C1" w:rsidR="00194B46" w:rsidRDefault="00660EC8">
      <w:pPr>
        <w:pStyle w:val="ListParagraph"/>
        <w:numPr>
          <w:ilvl w:val="1"/>
          <w:numId w:val="19"/>
        </w:numPr>
        <w:spacing w:before="120" w:after="24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Per diems for missions/travels</w:t>
      </w:r>
      <w:r>
        <w:rPr>
          <w:color w:val="000000" w:themeColor="text1"/>
        </w:rPr>
        <w:t xml:space="preserve"> shpenzimet për mëditje për punë zyrtare që lidhen ekskluzivisht me aktivitetet e projektit.</w:t>
      </w:r>
      <w:r>
        <w:t xml:space="preserve"> </w:t>
      </w:r>
    </w:p>
    <w:p w14:paraId="7CEF0FE1" w14:textId="77777777" w:rsidR="00194B46" w:rsidRDefault="00194B46">
      <w:pPr>
        <w:pStyle w:val="ListParagraph"/>
        <w:spacing w:before="120" w:after="240" w:line="240" w:lineRule="auto"/>
        <w:ind w:left="1440"/>
        <w:jc w:val="both"/>
        <w:rPr>
          <w:color w:val="000000" w:themeColor="text1"/>
        </w:rPr>
      </w:pPr>
    </w:p>
    <w:p w14:paraId="398F1568" w14:textId="1674A0E1" w:rsidR="00194B46" w:rsidRDefault="00660EC8">
      <w:pPr>
        <w:pStyle w:val="ListParagraph"/>
        <w:numPr>
          <w:ilvl w:val="0"/>
          <w:numId w:val="14"/>
        </w:numPr>
        <w:spacing w:before="120" w:after="240" w:line="240" w:lineRule="auto"/>
        <w:jc w:val="both"/>
        <w:rPr>
          <w:color w:val="000000" w:themeColor="text1"/>
        </w:rPr>
      </w:pPr>
      <w:bookmarkStart w:id="0" w:name="_Hlk50648882"/>
      <w:r>
        <w:rPr>
          <w:i/>
          <w:color w:val="000000" w:themeColor="text1"/>
        </w:rPr>
        <w:t xml:space="preserve">Kategoria 2. </w:t>
      </w:r>
      <w:r>
        <w:rPr>
          <w:b/>
          <w:i/>
          <w:color w:val="000000" w:themeColor="text1"/>
        </w:rPr>
        <w:t>Transporti</w:t>
      </w:r>
    </w:p>
    <w:bookmarkEnd w:id="0"/>
    <w:p w14:paraId="0186F839" w14:textId="77777777" w:rsidR="00194B46" w:rsidRDefault="00194B46">
      <w:pPr>
        <w:pStyle w:val="ListParagraph"/>
        <w:spacing w:before="120" w:after="240" w:line="240" w:lineRule="auto"/>
        <w:jc w:val="both"/>
        <w:rPr>
          <w:color w:val="000000" w:themeColor="text1"/>
        </w:rPr>
      </w:pPr>
    </w:p>
    <w:p w14:paraId="37861B9E" w14:textId="15C260D8" w:rsidR="00194B46" w:rsidRDefault="00660EC8">
      <w:pPr>
        <w:pStyle w:val="ListParagraph"/>
        <w:spacing w:before="120" w:after="240" w:line="240" w:lineRule="auto"/>
        <w:jc w:val="both"/>
        <w:rPr>
          <w:color w:val="000000" w:themeColor="text1"/>
        </w:rPr>
      </w:pPr>
      <w:r>
        <w:rPr>
          <w:i/>
          <w:color w:val="000000" w:themeColor="text1"/>
        </w:rPr>
        <w:t>2.</w:t>
      </w:r>
      <w:r>
        <w:rPr>
          <w:color w:val="000000" w:themeColor="text1"/>
        </w:rPr>
        <w:t>1 Shpenzime për udhëtime jashtë vendit në lidhje me ngjarje;</w:t>
      </w:r>
      <w:r>
        <w:t xml:space="preserve"> </w:t>
      </w:r>
    </w:p>
    <w:p w14:paraId="446E38A8" w14:textId="1DCFF094" w:rsidR="00194B46" w:rsidRDefault="00660EC8">
      <w:pPr>
        <w:pStyle w:val="ListParagraph"/>
        <w:numPr>
          <w:ilvl w:val="1"/>
          <w:numId w:val="23"/>
        </w:numPr>
        <w:spacing w:before="120" w:after="24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Shpenzimet e transportit lokal për aktivitetet që lidhen drejtpërdrejt me projektin;</w:t>
      </w:r>
    </w:p>
    <w:p w14:paraId="6F7CC3AF" w14:textId="206BFE32" w:rsidR="00194B46" w:rsidRDefault="00194B46">
      <w:pPr>
        <w:pStyle w:val="ListParagraph"/>
        <w:spacing w:before="120" w:after="240" w:line="240" w:lineRule="auto"/>
        <w:jc w:val="both"/>
        <w:rPr>
          <w:color w:val="000000" w:themeColor="text1"/>
        </w:rPr>
      </w:pPr>
    </w:p>
    <w:p w14:paraId="0B045D18" w14:textId="6D4F4E1D" w:rsidR="00194B46" w:rsidRDefault="00660EC8">
      <w:pPr>
        <w:pStyle w:val="ListParagraph"/>
        <w:numPr>
          <w:ilvl w:val="0"/>
          <w:numId w:val="14"/>
        </w:numPr>
        <w:rPr>
          <w:b/>
          <w:i/>
          <w:iCs/>
          <w:color w:val="000000" w:themeColor="text1"/>
        </w:rPr>
      </w:pPr>
      <w:r>
        <w:rPr>
          <w:i/>
          <w:iCs/>
          <w:color w:val="000000" w:themeColor="text1"/>
        </w:rPr>
        <w:t>Kategoria 3.</w:t>
      </w:r>
      <w:r>
        <w:rPr>
          <w:b/>
          <w:i/>
          <w:iCs/>
          <w:color w:val="000000" w:themeColor="text1"/>
        </w:rPr>
        <w:t xml:space="preserve"> </w:t>
      </w:r>
      <w:proofErr w:type="spellStart"/>
      <w:r>
        <w:rPr>
          <w:b/>
          <w:i/>
          <w:iCs/>
          <w:color w:val="000000" w:themeColor="text1"/>
        </w:rPr>
        <w:t>Shpenzime</w:t>
      </w:r>
      <w:proofErr w:type="spellEnd"/>
      <w:r>
        <w:rPr>
          <w:b/>
          <w:i/>
          <w:iCs/>
          <w:color w:val="000000" w:themeColor="text1"/>
        </w:rPr>
        <w:t xml:space="preserve"> </w:t>
      </w:r>
      <w:proofErr w:type="spellStart"/>
      <w:r>
        <w:rPr>
          <w:b/>
          <w:i/>
          <w:iCs/>
          <w:color w:val="000000" w:themeColor="text1"/>
        </w:rPr>
        <w:t>të</w:t>
      </w:r>
      <w:proofErr w:type="spellEnd"/>
      <w:r>
        <w:rPr>
          <w:b/>
          <w:i/>
          <w:iCs/>
          <w:color w:val="000000" w:themeColor="text1"/>
        </w:rPr>
        <w:t xml:space="preserve"> </w:t>
      </w:r>
      <w:proofErr w:type="spellStart"/>
      <w:r>
        <w:rPr>
          <w:b/>
          <w:i/>
          <w:iCs/>
          <w:color w:val="000000" w:themeColor="text1"/>
        </w:rPr>
        <w:t>tjera</w:t>
      </w:r>
      <w:proofErr w:type="spellEnd"/>
      <w:r>
        <w:rPr>
          <w:b/>
          <w:i/>
          <w:iCs/>
          <w:color w:val="000000" w:themeColor="text1"/>
        </w:rPr>
        <w:t xml:space="preserve">, </w:t>
      </w:r>
      <w:proofErr w:type="spellStart"/>
      <w:r>
        <w:rPr>
          <w:b/>
          <w:i/>
          <w:iCs/>
          <w:color w:val="000000" w:themeColor="text1"/>
        </w:rPr>
        <w:t>shërbime</w:t>
      </w:r>
      <w:proofErr w:type="spellEnd"/>
    </w:p>
    <w:p w14:paraId="66B160B2" w14:textId="77777777" w:rsidR="00194B46" w:rsidRDefault="00194B46">
      <w:pPr>
        <w:pStyle w:val="ListParagraph"/>
        <w:rPr>
          <w:i/>
          <w:iCs/>
          <w:color w:val="000000" w:themeColor="text1"/>
        </w:rPr>
      </w:pPr>
    </w:p>
    <w:p w14:paraId="3170434D" w14:textId="516020C8" w:rsidR="00194B46" w:rsidRDefault="00660EC8">
      <w:pPr>
        <w:pStyle w:val="ListParagraph"/>
        <w:rPr>
          <w:color w:val="000000" w:themeColor="text1"/>
        </w:rPr>
      </w:pPr>
      <w:r>
        <w:rPr>
          <w:color w:val="000000" w:themeColor="text1"/>
        </w:rPr>
        <w:t>Kjo kategori përfshin shpenzimet për:</w:t>
      </w:r>
    </w:p>
    <w:p w14:paraId="6FD674D1" w14:textId="27B46C57" w:rsidR="00194B46" w:rsidRDefault="00660EC8">
      <w:pPr>
        <w:pStyle w:val="ListParagraph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>Publikime (dizajn dhe shtypje)</w:t>
      </w:r>
    </w:p>
    <w:p w14:paraId="28FA5752" w14:textId="7D32D168" w:rsidR="00194B46" w:rsidRDefault="00660EC8">
      <w:pPr>
        <w:pStyle w:val="ListParagraph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>Kërkime</w:t>
      </w:r>
    </w:p>
    <w:p w14:paraId="6F5F5DC4" w14:textId="1B201EEC" w:rsidR="00194B46" w:rsidRDefault="00660EC8">
      <w:pPr>
        <w:pStyle w:val="ListParagraph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>Përkthim dhe interpretim (i shkruar, simultan, konsekutiv)</w:t>
      </w:r>
    </w:p>
    <w:p w14:paraId="2488F338" w14:textId="01CE192D" w:rsidR="00194B46" w:rsidRDefault="00660EC8">
      <w:pPr>
        <w:pStyle w:val="ListParagraph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>Shpenzime për organizimin e ngjarjeve (marrja me qira e hapësirës, pijeve freskuese, materialeve të punës, etj.)</w:t>
      </w:r>
    </w:p>
    <w:p w14:paraId="039423F1" w14:textId="01949CDF" w:rsidR="00194B46" w:rsidRDefault="00660EC8">
      <w:pPr>
        <w:pStyle w:val="ListParagraph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>Shpenzime për dukshmëri (komunikim me publikun, materiale promovuese, promovimi në rrjetet sociale, etj.)</w:t>
      </w:r>
    </w:p>
    <w:p w14:paraId="68B583AF" w14:textId="77777777" w:rsidR="00194B46" w:rsidRDefault="00194B46">
      <w:pPr>
        <w:pStyle w:val="ListParagraph"/>
        <w:spacing w:before="120" w:after="240" w:line="240" w:lineRule="auto"/>
        <w:ind w:left="1440"/>
        <w:jc w:val="both"/>
        <w:rPr>
          <w:color w:val="000000" w:themeColor="text1"/>
        </w:rPr>
      </w:pPr>
    </w:p>
    <w:p w14:paraId="0AF755A6" w14:textId="2FD12E4F" w:rsidR="00194B46" w:rsidRDefault="00660EC8">
      <w:pPr>
        <w:pStyle w:val="ListParagraph"/>
        <w:numPr>
          <w:ilvl w:val="0"/>
          <w:numId w:val="14"/>
        </w:numPr>
        <w:spacing w:before="120" w:after="240" w:line="240" w:lineRule="auto"/>
        <w:jc w:val="both"/>
        <w:rPr>
          <w:color w:val="000000" w:themeColor="text1"/>
        </w:rPr>
      </w:pPr>
      <w:r>
        <w:rPr>
          <w:i/>
          <w:color w:val="000000" w:themeColor="text1"/>
        </w:rPr>
        <w:t xml:space="preserve">Kategoria 4. </w:t>
      </w:r>
      <w:r>
        <w:rPr>
          <w:b/>
          <w:i/>
          <w:color w:val="000000" w:themeColor="text1"/>
        </w:rPr>
        <w:t xml:space="preserve">Shpenzime të tjera </w:t>
      </w:r>
    </w:p>
    <w:p w14:paraId="5B4BBEB0" w14:textId="77777777" w:rsidR="00194B46" w:rsidRDefault="00194B46">
      <w:pPr>
        <w:pStyle w:val="ListParagraph"/>
        <w:spacing w:before="120" w:after="240" w:line="240" w:lineRule="auto"/>
        <w:jc w:val="both"/>
        <w:rPr>
          <w:color w:val="000000" w:themeColor="text1"/>
        </w:rPr>
      </w:pPr>
    </w:p>
    <w:p w14:paraId="7B5A07DA" w14:textId="4C2C3EE9" w:rsidR="00194B46" w:rsidRDefault="00660EC8">
      <w:pPr>
        <w:pStyle w:val="ListParagraph"/>
        <w:numPr>
          <w:ilvl w:val="0"/>
          <w:numId w:val="22"/>
        </w:numPr>
        <w:spacing w:before="120" w:after="24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Nëse udhëheqësi i projektit / koordinatori i aplikuesit / bashkë-aplikantit punësohet në bazë të një kontrate në vepër, shpenzimi për angazhimin e tij / saj duhet të buxhetohet në kategorinë 4. Shuma e parashikuar për honorarë duhet të përfshijë shumën neto dhe tatimin mbi të ardhurat personale.</w:t>
      </w:r>
    </w:p>
    <w:p w14:paraId="286940FE" w14:textId="262C68CE" w:rsidR="00194B46" w:rsidRPr="00A0706B" w:rsidRDefault="00660EC8">
      <w:pPr>
        <w:pStyle w:val="ListParagraph"/>
        <w:numPr>
          <w:ilvl w:val="0"/>
          <w:numId w:val="22"/>
        </w:numPr>
        <w:spacing w:before="120" w:after="240" w:line="240" w:lineRule="auto"/>
        <w:jc w:val="both"/>
        <w:rPr>
          <w:color w:val="000000" w:themeColor="text1"/>
        </w:rPr>
      </w:pPr>
      <w:proofErr w:type="spellStart"/>
      <w:r>
        <w:rPr>
          <w:rFonts w:cstheme="minorHAnsi"/>
        </w:rPr>
        <w:t>shpenzime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për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marrjen</w:t>
      </w:r>
      <w:proofErr w:type="spellEnd"/>
      <w:r>
        <w:rPr>
          <w:rFonts w:cstheme="minorHAnsi"/>
        </w:rPr>
        <w:t xml:space="preserve"> me qira të </w:t>
      </w:r>
      <w:proofErr w:type="spellStart"/>
      <w:r>
        <w:rPr>
          <w:rFonts w:cstheme="minorHAnsi"/>
        </w:rPr>
        <w:t>pajisjeve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prokurimin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për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aktivitetet</w:t>
      </w:r>
      <w:proofErr w:type="spellEnd"/>
      <w:r>
        <w:rPr>
          <w:rFonts w:cstheme="minorHAnsi"/>
        </w:rPr>
        <w:t xml:space="preserve"> e </w:t>
      </w:r>
      <w:proofErr w:type="spellStart"/>
      <w:r>
        <w:rPr>
          <w:rFonts w:cstheme="minorHAnsi"/>
        </w:rPr>
        <w:t>projektit</w:t>
      </w:r>
      <w:proofErr w:type="spellEnd"/>
      <w:r>
        <w:rPr>
          <w:rFonts w:cstheme="minorHAnsi"/>
        </w:rPr>
        <w:t>;</w:t>
      </w:r>
    </w:p>
    <w:p w14:paraId="10BD7F1B" w14:textId="77777777" w:rsidR="00A0706B" w:rsidRDefault="00A0706B" w:rsidP="00A0706B">
      <w:pPr>
        <w:pStyle w:val="ListParagraph"/>
        <w:spacing w:before="120" w:after="240" w:line="240" w:lineRule="auto"/>
        <w:ind w:left="1080"/>
        <w:jc w:val="both"/>
        <w:rPr>
          <w:color w:val="000000" w:themeColor="text1"/>
        </w:rPr>
      </w:pPr>
    </w:p>
    <w:p w14:paraId="6F1E8673" w14:textId="77777777" w:rsidR="00114B74" w:rsidRPr="00114B74" w:rsidRDefault="00114B74" w:rsidP="00114B74">
      <w:pPr>
        <w:pStyle w:val="ListParagraph"/>
        <w:spacing w:before="120" w:after="240" w:line="240" w:lineRule="auto"/>
        <w:ind w:left="1080"/>
        <w:jc w:val="both"/>
        <w:rPr>
          <w:color w:val="000000" w:themeColor="text1"/>
        </w:rPr>
      </w:pPr>
    </w:p>
    <w:p w14:paraId="29DBE9DB" w14:textId="2401AB8A" w:rsidR="00194B46" w:rsidRDefault="00660EC8">
      <w:pPr>
        <w:pStyle w:val="ListParagraph"/>
        <w:numPr>
          <w:ilvl w:val="0"/>
          <w:numId w:val="22"/>
        </w:numPr>
        <w:spacing w:before="120" w:after="240" w:line="240" w:lineRule="auto"/>
        <w:jc w:val="both"/>
        <w:rPr>
          <w:color w:val="000000" w:themeColor="text1"/>
        </w:rPr>
      </w:pPr>
      <w:r>
        <w:rPr>
          <w:rFonts w:cstheme="minorHAnsi"/>
        </w:rPr>
        <w:t xml:space="preserve">IT </w:t>
      </w:r>
      <w:proofErr w:type="spellStart"/>
      <w:r>
        <w:rPr>
          <w:rFonts w:cstheme="minorHAnsi"/>
        </w:rPr>
        <w:t>shërbime</w:t>
      </w:r>
      <w:proofErr w:type="spellEnd"/>
      <w:r>
        <w:rPr>
          <w:rFonts w:cstheme="minorHAnsi"/>
        </w:rPr>
        <w:t>,</w:t>
      </w:r>
    </w:p>
    <w:p w14:paraId="4C66BF23" w14:textId="09AD77F4" w:rsidR="00194B46" w:rsidRDefault="00660EC8">
      <w:pPr>
        <w:pStyle w:val="ListParagraph"/>
        <w:numPr>
          <w:ilvl w:val="0"/>
          <w:numId w:val="22"/>
        </w:numPr>
        <w:spacing w:before="120" w:after="240" w:line="240" w:lineRule="auto"/>
        <w:jc w:val="both"/>
        <w:rPr>
          <w:color w:val="000000" w:themeColor="text1"/>
        </w:rPr>
      </w:pPr>
      <w:r>
        <w:rPr>
          <w:rFonts w:cstheme="minorHAnsi"/>
        </w:rPr>
        <w:t>Të gjitha shpenzimet të tjera që lidhen drejtpërdrejt me aktivitetet e projektit, ndërsa nuk bëjnë pjesë në kategorinë 3.</w:t>
      </w:r>
    </w:p>
    <w:p w14:paraId="5496F246" w14:textId="77777777" w:rsidR="00194B46" w:rsidRDefault="00194B46">
      <w:pPr>
        <w:pStyle w:val="ListParagraph"/>
        <w:jc w:val="both"/>
        <w:rPr>
          <w:rFonts w:cstheme="minorHAnsi"/>
        </w:rPr>
      </w:pPr>
    </w:p>
    <w:p w14:paraId="3DD95101" w14:textId="3B29D724" w:rsidR="00194B46" w:rsidRDefault="00660EC8">
      <w:pPr>
        <w:jc w:val="both"/>
        <w:rPr>
          <w:rFonts w:cstheme="minorHAnsi"/>
        </w:rPr>
      </w:pPr>
      <w:r>
        <w:rPr>
          <w:rFonts w:cstheme="minorHAnsi"/>
          <w:b/>
        </w:rPr>
        <w:t>Shënim i rëndësishëm:</w:t>
      </w:r>
      <w:r>
        <w:rPr>
          <w:rFonts w:cstheme="minorHAnsi"/>
        </w:rPr>
        <w:t xml:space="preserve"> Prokurimi (blerja) e pajisjeve është shpenzim i papranueshëm.</w:t>
      </w:r>
      <w:r>
        <w:t xml:space="preserve"> </w:t>
      </w:r>
    </w:p>
    <w:p w14:paraId="136A35E9" w14:textId="77777777" w:rsidR="00194B46" w:rsidRDefault="00194B46">
      <w:pPr>
        <w:jc w:val="both"/>
        <w:rPr>
          <w:rFonts w:cstheme="minorHAnsi"/>
          <w:b/>
        </w:rPr>
      </w:pPr>
    </w:p>
    <w:p w14:paraId="55056A94" w14:textId="53B7F096" w:rsidR="00194B46" w:rsidRDefault="00660EC8">
      <w:pPr>
        <w:jc w:val="both"/>
        <w:rPr>
          <w:rFonts w:cstheme="minorHAnsi"/>
        </w:rPr>
      </w:pPr>
      <w:r>
        <w:rPr>
          <w:rFonts w:cstheme="minorHAnsi"/>
          <w:b/>
        </w:rPr>
        <w:t>Shpenzime indirekte</w:t>
      </w:r>
      <w:r>
        <w:rPr>
          <w:rFonts w:cstheme="minorHAnsi"/>
        </w:rPr>
        <w:t xml:space="preserve"> (shpenzime administrative) janë shpenzime që lindin nga operacionet e përditshme të organizatës dhe nuk janë të lidhura drejtpërdrejt me aktivitetet e projektit (për shembull: marrja me qira / përdorimi i hapësirës së punës, (</w:t>
      </w:r>
      <w:r>
        <w:rPr>
          <w:rFonts w:cstheme="minorHAnsi"/>
          <w:b/>
        </w:rPr>
        <w:t>këto shpenzime do të pranohen nëse organizata ka shpenzime reale për punë në zyrë</w:t>
      </w:r>
      <w:r>
        <w:rPr>
          <w:rFonts w:cstheme="minorHAnsi"/>
        </w:rPr>
        <w:t>), provizione bankare, shpenzime të kontabilitetit, shpenzimet për telefon / internet, pajisjet e zyrës, etj.). Shuma e këtyre shpenzimeve administrative nuk duhet të kalojë 7% të shpenzimeve totale direkte. Këto shpenzime indirekte nuk duhet të buxhetohen në detaje, por në shumë totale. Meqenëse këto janë shpenzime që lidhen me funksionimin e organizatës ato duhet të regjistrohen në librat e organizatës, sipas rregullave të përgjithshme të kontabilitetit dhe arkivimit.</w:t>
      </w:r>
    </w:p>
    <w:p w14:paraId="52958947" w14:textId="6C626788" w:rsidR="00194B46" w:rsidRDefault="00660EC8">
      <w:pPr>
        <w:jc w:val="both"/>
        <w:rPr>
          <w:rFonts w:cstheme="minorHAnsi"/>
        </w:rPr>
      </w:pPr>
      <w:r>
        <w:rPr>
          <w:rFonts w:cstheme="minorHAnsi"/>
        </w:rPr>
        <w:t>Shuma totale e shpenzimeve direkte dhe indirekte nuk duhet të kalojë 5.000 EUR në kundërvlerë të denarit.</w:t>
      </w:r>
    </w:p>
    <w:p w14:paraId="7865948F" w14:textId="77777777" w:rsidR="00194B46" w:rsidRDefault="00660EC8">
      <w:pPr>
        <w:pStyle w:val="ListParagraph"/>
        <w:spacing w:before="120" w:after="240" w:line="240" w:lineRule="auto"/>
        <w:ind w:left="0"/>
        <w:jc w:val="both"/>
        <w:rPr>
          <w:rFonts w:cstheme="minorHAnsi"/>
        </w:rPr>
      </w:pPr>
      <w:r>
        <w:rPr>
          <w:rFonts w:cstheme="minorHAnsi"/>
          <w:b/>
        </w:rPr>
        <w:t>Shënim i rëndësishëm</w:t>
      </w:r>
      <w:r>
        <w:rPr>
          <w:rFonts w:cstheme="minorHAnsi"/>
        </w:rPr>
        <w:t xml:space="preserve">: TVSH-ja nuk është shpenzim i pranueshëm në këtë projekt. </w:t>
      </w:r>
      <w:r>
        <w:t xml:space="preserve"> </w:t>
      </w:r>
    </w:p>
    <w:p w14:paraId="62A20027" w14:textId="3A9CD66A" w:rsidR="00194B46" w:rsidRDefault="00660EC8">
      <w:pPr>
        <w:pStyle w:val="ListParagraph"/>
        <w:spacing w:before="120" w:after="24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Shumat në të gjitha linjat buxhetore duhet të deklarohen pa shumën e TVSH-së. Kjo do të thotë që shuma e fondeve që do të kërkohen, duhet të jetë pa TVSH dhe të gjitha faturat e paraqitura si dëshmi për shpenzimet e bëra duhet të lëshohen pa TVSH. Nëse organizata paguan TVSH brenda këtij projekti, kostoja për shumën e TVSH-së do të bartet vetë.</w:t>
      </w:r>
    </w:p>
    <w:p w14:paraId="65E2F46B" w14:textId="77777777" w:rsidR="00194B46" w:rsidRDefault="00194B46">
      <w:pPr>
        <w:pStyle w:val="ListParagraph"/>
        <w:spacing w:before="120" w:after="240" w:line="240" w:lineRule="auto"/>
        <w:ind w:left="0"/>
        <w:jc w:val="both"/>
        <w:rPr>
          <w:rFonts w:cstheme="minorHAnsi"/>
        </w:rPr>
      </w:pPr>
    </w:p>
    <w:p w14:paraId="4EC7A91A" w14:textId="46FB8B96" w:rsidR="00194B46" w:rsidRDefault="00660EC8">
      <w:pPr>
        <w:pStyle w:val="ListParagraph"/>
        <w:spacing w:before="120" w:after="24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Gjatë përgatitjes së buxhetit, duhet respektuar rregulli për jo fitimprurje dhe shmangia e financimit të dyfishtë.</w:t>
      </w:r>
    </w:p>
    <w:p w14:paraId="2C80B602" w14:textId="77777777" w:rsidR="00194B46" w:rsidRDefault="00194B46">
      <w:pPr>
        <w:pStyle w:val="ListParagraph"/>
        <w:spacing w:before="120" w:after="240" w:line="240" w:lineRule="auto"/>
        <w:ind w:left="0"/>
        <w:jc w:val="both"/>
        <w:rPr>
          <w:rFonts w:eastAsia="Times New Roman" w:cstheme="minorHAnsi"/>
          <w:b/>
          <w:sz w:val="24"/>
        </w:rPr>
      </w:pPr>
    </w:p>
    <w:p w14:paraId="088B1967" w14:textId="60D33D25" w:rsidR="00194B46" w:rsidRDefault="00660EC8">
      <w:pPr>
        <w:rPr>
          <w:b/>
        </w:rPr>
      </w:pPr>
      <w:r>
        <w:rPr>
          <w:b/>
          <w:u w:val="single"/>
        </w:rPr>
        <w:t>Shpenzimet e papranueshme në buxhet janë</w:t>
      </w:r>
      <w:r>
        <w:rPr>
          <w:b/>
        </w:rPr>
        <w:t>:</w:t>
      </w:r>
      <w:r>
        <w:t xml:space="preserve"> </w:t>
      </w:r>
    </w:p>
    <w:p w14:paraId="2E5E8688" w14:textId="77777777" w:rsidR="00194B46" w:rsidRDefault="00660EC8">
      <w:pPr>
        <w:pStyle w:val="ListParagraph"/>
        <w:numPr>
          <w:ilvl w:val="0"/>
          <w:numId w:val="20"/>
        </w:numPr>
        <w:spacing w:before="120" w:after="240" w:line="240" w:lineRule="auto"/>
        <w:jc w:val="both"/>
      </w:pPr>
      <w:r>
        <w:t>Borxhe dhe shpenzime që rrjedhin nga borxhi (kamata);</w:t>
      </w:r>
    </w:p>
    <w:p w14:paraId="7B5BC9FF" w14:textId="54F16268" w:rsidR="00194B46" w:rsidRDefault="00660EC8">
      <w:pPr>
        <w:pStyle w:val="ListParagraph"/>
        <w:numPr>
          <w:ilvl w:val="0"/>
          <w:numId w:val="20"/>
        </w:numPr>
        <w:spacing w:before="120" w:after="240" w:line="240" w:lineRule="auto"/>
        <w:jc w:val="both"/>
      </w:pPr>
      <w:r>
        <w:t>Shpenzimet e raportuara nga përfituesi (t) dhe të financuara nga një projekt ose program tjetër pune që pranon grant nga Bashkimi Evropian ose një grant tjetër nga donator;</w:t>
      </w:r>
    </w:p>
    <w:p w14:paraId="6B9738F0" w14:textId="7781AA83" w:rsidR="00194B46" w:rsidRDefault="00660EC8">
      <w:pPr>
        <w:pStyle w:val="ListParagraph"/>
        <w:numPr>
          <w:ilvl w:val="0"/>
          <w:numId w:val="20"/>
        </w:numPr>
        <w:spacing w:before="120" w:after="240" w:line="240" w:lineRule="auto"/>
        <w:jc w:val="both"/>
      </w:pPr>
      <w:r>
        <w:t>Humbjet nga diferencat e kursit të këmbimit;</w:t>
      </w:r>
    </w:p>
    <w:p w14:paraId="364DAADD" w14:textId="606E7265" w:rsidR="00194B46" w:rsidRDefault="00660EC8">
      <w:pPr>
        <w:pStyle w:val="ListParagraph"/>
        <w:numPr>
          <w:ilvl w:val="0"/>
          <w:numId w:val="20"/>
        </w:numPr>
        <w:spacing w:before="120" w:after="240" w:line="240" w:lineRule="auto"/>
        <w:jc w:val="both"/>
      </w:pPr>
      <w:r>
        <w:t>Prokurimi i pasurive të patundshme;</w:t>
      </w:r>
    </w:p>
    <w:p w14:paraId="082773CC" w14:textId="42160B94" w:rsidR="00194B46" w:rsidRDefault="00660EC8">
      <w:pPr>
        <w:pStyle w:val="ListParagraph"/>
        <w:numPr>
          <w:ilvl w:val="0"/>
          <w:numId w:val="20"/>
        </w:numPr>
        <w:spacing w:before="120" w:after="240" w:line="240" w:lineRule="auto"/>
        <w:jc w:val="both"/>
      </w:pPr>
      <w:r>
        <w:t>Prokurimi i pajisjeve;</w:t>
      </w:r>
    </w:p>
    <w:p w14:paraId="42A393E9" w14:textId="073B86A8" w:rsidR="00194B46" w:rsidRDefault="00660EC8">
      <w:pPr>
        <w:pStyle w:val="ListParagraph"/>
        <w:numPr>
          <w:ilvl w:val="0"/>
          <w:numId w:val="20"/>
        </w:numPr>
        <w:spacing w:before="120" w:after="240" w:line="240" w:lineRule="auto"/>
        <w:jc w:val="both"/>
      </w:pPr>
      <w:r>
        <w:t>Shpenzimet për dëme dhe riparime;</w:t>
      </w:r>
    </w:p>
    <w:p w14:paraId="44775B07" w14:textId="77777777" w:rsidR="00194B46" w:rsidRDefault="00194B46">
      <w:pPr>
        <w:spacing w:before="120" w:after="240" w:line="240" w:lineRule="auto"/>
        <w:jc w:val="both"/>
      </w:pPr>
    </w:p>
    <w:p w14:paraId="1AD6B1D3" w14:textId="41278B55" w:rsidR="00194B46" w:rsidRDefault="00660EC8">
      <w:pPr>
        <w:spacing w:before="120" w:after="240" w:line="240" w:lineRule="auto"/>
        <w:jc w:val="both"/>
      </w:pPr>
      <w:r>
        <w:t>Aplikanti është përgjegjës për saktësinë e të dhënave të specifikuara në Buxhet.</w:t>
      </w:r>
    </w:p>
    <w:sectPr w:rsidR="00194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6AFE5" w14:textId="77777777" w:rsidR="005F1210" w:rsidRDefault="005F1210">
      <w:pPr>
        <w:spacing w:after="0" w:line="240" w:lineRule="auto"/>
      </w:pPr>
      <w:r>
        <w:separator/>
      </w:r>
    </w:p>
  </w:endnote>
  <w:endnote w:type="continuationSeparator" w:id="0">
    <w:p w14:paraId="3EC0BBB9" w14:textId="77777777" w:rsidR="005F1210" w:rsidRDefault="005F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233FD" w14:textId="77777777" w:rsidR="00152254" w:rsidRDefault="00152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361" w:type="dxa"/>
      <w:tblInd w:w="-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7125"/>
    </w:tblGrid>
    <w:tr w:rsidR="00194B46" w14:paraId="3F45FC0E" w14:textId="77777777">
      <w:trPr>
        <w:trHeight w:val="368"/>
      </w:trPr>
      <w:tc>
        <w:tcPr>
          <w:tcW w:w="236" w:type="dxa"/>
        </w:tcPr>
        <w:p w14:paraId="7CD711F1" w14:textId="77777777" w:rsidR="00194B46" w:rsidRDefault="00194B46">
          <w:pPr>
            <w:pStyle w:val="Footer"/>
          </w:pPr>
        </w:p>
      </w:tc>
      <w:tc>
        <w:tcPr>
          <w:tcW w:w="7125" w:type="dxa"/>
        </w:tcPr>
        <w:p w14:paraId="61D83A6B" w14:textId="129B127D" w:rsidR="00194B46" w:rsidRDefault="00114B74">
          <w:pPr>
            <w:jc w:val="both"/>
            <w:rPr>
              <w:rFonts w:cstheme="minorHAnsi"/>
              <w:i/>
              <w:sz w:val="20"/>
            </w:rPr>
          </w:pPr>
          <w:proofErr w:type="spellStart"/>
          <w:r w:rsidRPr="00114B74">
            <w:rPr>
              <w:i/>
              <w:sz w:val="20"/>
            </w:rPr>
            <w:t>Kjo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thirrje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është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përgatitur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në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kuadër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të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Projektit</w:t>
          </w:r>
          <w:proofErr w:type="spellEnd"/>
          <w:r w:rsidRPr="00114B74">
            <w:rPr>
              <w:i/>
              <w:sz w:val="20"/>
            </w:rPr>
            <w:t>: "</w:t>
          </w:r>
          <w:proofErr w:type="spellStart"/>
          <w:r w:rsidRPr="00114B74">
            <w:rPr>
              <w:i/>
              <w:sz w:val="20"/>
            </w:rPr>
            <w:t>Aksion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Lokal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për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Politika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më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të</w:t>
          </w:r>
          <w:proofErr w:type="spellEnd"/>
          <w:r w:rsidRPr="00114B74">
            <w:rPr>
              <w:i/>
              <w:sz w:val="20"/>
            </w:rPr>
            <w:t xml:space="preserve"> Mira </w:t>
          </w:r>
          <w:proofErr w:type="spellStart"/>
          <w:r w:rsidRPr="00114B74">
            <w:rPr>
              <w:i/>
              <w:sz w:val="20"/>
            </w:rPr>
            <w:t>për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Mbrojtjen</w:t>
          </w:r>
          <w:proofErr w:type="spellEnd"/>
          <w:r w:rsidRPr="00114B74">
            <w:rPr>
              <w:i/>
              <w:sz w:val="20"/>
            </w:rPr>
            <w:t xml:space="preserve"> e </w:t>
          </w:r>
          <w:proofErr w:type="spellStart"/>
          <w:r w:rsidRPr="00114B74">
            <w:rPr>
              <w:i/>
              <w:sz w:val="20"/>
            </w:rPr>
            <w:t>Mjedisit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Jetësor</w:t>
          </w:r>
          <w:proofErr w:type="spellEnd"/>
          <w:r w:rsidRPr="00114B74">
            <w:rPr>
              <w:i/>
              <w:sz w:val="20"/>
            </w:rPr>
            <w:t xml:space="preserve">" </w:t>
          </w:r>
          <w:proofErr w:type="spellStart"/>
          <w:r w:rsidRPr="00114B74">
            <w:rPr>
              <w:i/>
              <w:sz w:val="20"/>
            </w:rPr>
            <w:t>zbatohet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nga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Instituti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për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Studime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të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Komunikimit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në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partneritet</w:t>
          </w:r>
          <w:proofErr w:type="spellEnd"/>
          <w:r w:rsidRPr="00114B74">
            <w:rPr>
              <w:i/>
              <w:sz w:val="20"/>
            </w:rPr>
            <w:t xml:space="preserve"> me </w:t>
          </w:r>
          <w:proofErr w:type="spellStart"/>
          <w:r w:rsidRPr="00114B74">
            <w:rPr>
              <w:i/>
              <w:sz w:val="20"/>
            </w:rPr>
            <w:t>Shoqatën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Ekologjike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të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Maqedonisë</w:t>
          </w:r>
          <w:proofErr w:type="spellEnd"/>
          <w:r w:rsidRPr="00114B74">
            <w:rPr>
              <w:i/>
              <w:sz w:val="20"/>
            </w:rPr>
            <w:t xml:space="preserve">, me </w:t>
          </w:r>
          <w:proofErr w:type="spellStart"/>
          <w:r w:rsidRPr="00114B74">
            <w:rPr>
              <w:i/>
              <w:sz w:val="20"/>
            </w:rPr>
            <w:t>mbështetje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financiare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të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Instrumentit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Evropian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për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Demokraci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dhe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të</w:t>
          </w:r>
          <w:proofErr w:type="spellEnd"/>
          <w:r w:rsidRPr="00114B74">
            <w:rPr>
              <w:i/>
              <w:sz w:val="20"/>
            </w:rPr>
            <w:t xml:space="preserve"> </w:t>
          </w:r>
          <w:proofErr w:type="spellStart"/>
          <w:r w:rsidRPr="00114B74">
            <w:rPr>
              <w:i/>
              <w:sz w:val="20"/>
            </w:rPr>
            <w:t>Drejtat</w:t>
          </w:r>
          <w:proofErr w:type="spellEnd"/>
          <w:r w:rsidRPr="00114B74">
            <w:rPr>
              <w:i/>
              <w:sz w:val="20"/>
            </w:rPr>
            <w:t xml:space="preserve"> e </w:t>
          </w:r>
          <w:proofErr w:type="spellStart"/>
          <w:r w:rsidRPr="00114B74">
            <w:rPr>
              <w:i/>
              <w:sz w:val="20"/>
            </w:rPr>
            <w:t>Njeriut</w:t>
          </w:r>
          <w:proofErr w:type="spellEnd"/>
          <w:r w:rsidRPr="00114B74">
            <w:rPr>
              <w:i/>
              <w:sz w:val="20"/>
            </w:rPr>
            <w:t xml:space="preserve"> (EIDHR).  </w:t>
          </w:r>
        </w:p>
      </w:tc>
    </w:tr>
  </w:tbl>
  <w:p w14:paraId="7AE36F1D" w14:textId="204420A7" w:rsidR="00194B46" w:rsidRDefault="00114B74">
    <w:pPr>
      <w:pStyle w:val="Footer"/>
    </w:pPr>
    <w:r w:rsidRPr="00114B74">
      <w:rPr>
        <w:noProof/>
      </w:rPr>
      <w:drawing>
        <wp:anchor distT="0" distB="0" distL="114300" distR="114300" simplePos="0" relativeHeight="251670528" behindDoc="0" locked="0" layoutInCell="1" allowOverlap="1" wp14:anchorId="658C5E99" wp14:editId="6C86679E">
          <wp:simplePos x="0" y="0"/>
          <wp:positionH relativeFrom="margin">
            <wp:posOffset>4600575</wp:posOffset>
          </wp:positionH>
          <wp:positionV relativeFrom="margin">
            <wp:posOffset>7976235</wp:posOffset>
          </wp:positionV>
          <wp:extent cx="1218565" cy="914400"/>
          <wp:effectExtent l="0" t="0" r="0" b="0"/>
          <wp:wrapSquare wrapText="bothSides"/>
          <wp:docPr id="1" name="Picture 1" descr="C:\Users\lsaba\Desktop\SHAPE\Logoa EU za tebe\Нови логоа\ALB EUsoTEB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aba\Desktop\SHAPE\Logoa EU za tebe\Нови логоа\ALB EUsoTEB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87C4D" w14:textId="77777777" w:rsidR="00152254" w:rsidRDefault="00152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8277E" w14:textId="77777777" w:rsidR="005F1210" w:rsidRDefault="005F1210">
      <w:pPr>
        <w:spacing w:after="0" w:line="240" w:lineRule="auto"/>
      </w:pPr>
      <w:r>
        <w:separator/>
      </w:r>
    </w:p>
  </w:footnote>
  <w:footnote w:type="continuationSeparator" w:id="0">
    <w:p w14:paraId="359A46FC" w14:textId="77777777" w:rsidR="005F1210" w:rsidRDefault="005F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06379" w14:textId="77777777" w:rsidR="00152254" w:rsidRDefault="00152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29C3F" w14:textId="15ACECBE" w:rsidR="00194B46" w:rsidRDefault="00660EC8">
    <w:pPr>
      <w:pStyle w:val="Header"/>
      <w:tabs>
        <w:tab w:val="clear" w:pos="4680"/>
        <w:tab w:val="left" w:pos="700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76A0C17F" wp14:editId="5B02CE30">
          <wp:simplePos x="0" y="0"/>
          <wp:positionH relativeFrom="column">
            <wp:posOffset>1428750</wp:posOffset>
          </wp:positionH>
          <wp:positionV relativeFrom="paragraph">
            <wp:posOffset>72390</wp:posOffset>
          </wp:positionV>
          <wp:extent cx="2590800" cy="366395"/>
          <wp:effectExtent l="0" t="0" r="0" b="0"/>
          <wp:wrapNone/>
          <wp:docPr id="7" name="Picture 7" descr="IKS LOGO DOL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KS LOGO DOL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02C18FB" wp14:editId="56B312A5">
          <wp:simplePos x="0" y="0"/>
          <wp:positionH relativeFrom="column">
            <wp:posOffset>4414520</wp:posOffset>
          </wp:positionH>
          <wp:positionV relativeFrom="paragraph">
            <wp:posOffset>-116205</wp:posOffset>
          </wp:positionV>
          <wp:extent cx="1446530" cy="747395"/>
          <wp:effectExtent l="0" t="0" r="1270" b="0"/>
          <wp:wrapNone/>
          <wp:docPr id="6" name="Picture 6" descr="thumbnail_MES logo-72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umbnail_MES logo-72p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6C701C5" wp14:editId="44155EED">
          <wp:simplePos x="0" y="0"/>
          <wp:positionH relativeFrom="margin">
            <wp:posOffset>-19685</wp:posOffset>
          </wp:positionH>
          <wp:positionV relativeFrom="paragraph">
            <wp:posOffset>-41275</wp:posOffset>
          </wp:positionV>
          <wp:extent cx="847725" cy="576580"/>
          <wp:effectExtent l="0" t="0" r="9525" b="0"/>
          <wp:wrapNone/>
          <wp:docPr id="5" name="Picture 5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u-fl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20F9BA" w14:textId="77777777" w:rsidR="00194B46" w:rsidRDefault="00194B46">
    <w:pPr>
      <w:pStyle w:val="Header"/>
      <w:tabs>
        <w:tab w:val="clear" w:pos="4680"/>
        <w:tab w:val="left" w:pos="7005"/>
      </w:tabs>
      <w:rPr>
        <w:noProof/>
      </w:rPr>
    </w:pPr>
  </w:p>
  <w:p w14:paraId="15190A12" w14:textId="4B3AD596" w:rsidR="00194B46" w:rsidRDefault="00660EC8">
    <w:pPr>
      <w:pStyle w:val="Header"/>
      <w:tabs>
        <w:tab w:val="clear" w:pos="4680"/>
        <w:tab w:val="left" w:pos="7005"/>
      </w:tabs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1B9B98F8" wp14:editId="71E6C30C">
              <wp:simplePos x="0" y="0"/>
              <wp:positionH relativeFrom="column">
                <wp:posOffset>-533400</wp:posOffset>
              </wp:positionH>
              <wp:positionV relativeFrom="paragraph">
                <wp:posOffset>190500</wp:posOffset>
              </wp:positionV>
              <wp:extent cx="1771650" cy="459740"/>
              <wp:effectExtent l="0" t="0" r="0" b="0"/>
              <wp:wrapThrough wrapText="bothSides">
                <wp:wrapPolygon edited="0">
                  <wp:start x="697" y="0"/>
                  <wp:lineTo x="697" y="21016"/>
                  <wp:lineTo x="20671" y="21016"/>
                  <wp:lineTo x="20671" y="0"/>
                  <wp:lineTo x="697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459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11263B" w14:textId="007639C1" w:rsidR="00A0706B" w:rsidRDefault="00A0706B" w:rsidP="00152254">
                          <w:pPr>
                            <w:jc w:val="center"/>
                            <w:rPr>
                              <w:rFonts w:eastAsiaTheme="minorHAnsi"/>
                              <w:b/>
                              <w:color w:val="1F3864" w:themeColor="accent5" w:themeShade="80"/>
                              <w:sz w:val="16"/>
                              <w:szCs w:val="16"/>
                            </w:rPr>
                          </w:pPr>
                          <w:bookmarkStart w:id="1" w:name="_GoBack"/>
                          <w:r>
                            <w:rPr>
                              <w:b/>
                              <w:noProof/>
                              <w:color w:val="1F3864" w:themeColor="accent5" w:themeShade="80"/>
                              <w:sz w:val="16"/>
                              <w:szCs w:val="16"/>
                            </w:rPr>
                            <w:t>Projekti është financuar nga Bashkimi Evropian</w:t>
                          </w:r>
                        </w:p>
                        <w:bookmarkEnd w:id="1"/>
                        <w:p w14:paraId="3B4810A0" w14:textId="4B286E02" w:rsidR="00194B46" w:rsidRDefault="00194B46">
                          <w:pPr>
                            <w:jc w:val="center"/>
                            <w:rPr>
                              <w:b/>
                              <w:color w:val="1F3864" w:themeColor="accent5" w:themeShade="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9B98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2pt;margin-top:15pt;width:139.5pt;height:36.2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" filled="f" stroked="f">
              <v:textbox style="mso-fit-shape-to-text:t">
                <w:txbxContent>
                  <w:p w14:paraId="6911263B" w14:textId="007639C1" w:rsidR="00A0706B" w:rsidRDefault="00A0706B" w:rsidP="00152254">
                    <w:pPr>
                      <w:jc w:val="center"/>
                      <w:rPr>
                        <w:rFonts w:eastAsiaTheme="minorHAnsi"/>
                        <w:b/>
                        <w:color w:val="1F3864" w:themeColor="accent5" w:themeShade="80"/>
                        <w:sz w:val="16"/>
                        <w:szCs w:val="16"/>
                      </w:rPr>
                    </w:pPr>
                    <w:bookmarkStart w:id="2" w:name="_GoBack"/>
                    <w:r>
                      <w:rPr>
                        <w:b/>
                        <w:noProof/>
                        <w:color w:val="1F3864" w:themeColor="accent5" w:themeShade="80"/>
                        <w:sz w:val="16"/>
                        <w:szCs w:val="16"/>
                      </w:rPr>
                      <w:t>Projekti është financuar nga Bashkimi Evropian</w:t>
                    </w:r>
                  </w:p>
                  <w:bookmarkEnd w:id="2"/>
                  <w:p w14:paraId="3B4810A0" w14:textId="4B286E02" w:rsidR="00194B46" w:rsidRDefault="00194B46">
                    <w:pPr>
                      <w:jc w:val="center"/>
                      <w:rPr>
                        <w:b/>
                        <w:color w:val="1F3864" w:themeColor="accent5" w:themeShade="80"/>
                        <w:sz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14:paraId="7CA42289" w14:textId="77777777" w:rsidR="00194B46" w:rsidRDefault="00660EC8">
    <w:pPr>
      <w:pStyle w:val="Header"/>
      <w:tabs>
        <w:tab w:val="clear" w:pos="4680"/>
        <w:tab w:val="left" w:pos="7005"/>
      </w:tabs>
    </w:pPr>
    <w:r>
      <w:br/>
    </w:r>
  </w:p>
  <w:p w14:paraId="488C29F0" w14:textId="602255D8" w:rsidR="00194B46" w:rsidRDefault="00194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E6C2E" w14:textId="77777777" w:rsidR="00152254" w:rsidRDefault="00152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/>
      </w:rPr>
    </w:lvl>
  </w:abstractNum>
  <w:abstractNum w:abstractNumId="1" w15:restartNumberingAfterBreak="0">
    <w:nsid w:val="0F683B3E"/>
    <w:multiLevelType w:val="hybridMultilevel"/>
    <w:tmpl w:val="04685684"/>
    <w:lvl w:ilvl="0" w:tplc="0000000C">
      <w:numFmt w:val="bullet"/>
      <w:lvlText w:val="-"/>
      <w:lvlJc w:val="left"/>
      <w:pPr>
        <w:ind w:left="720" w:hanging="360"/>
      </w:pPr>
      <w:rPr>
        <w:rFonts w:ascii="Garamond" w:hAnsi="Garamon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825F7"/>
    <w:multiLevelType w:val="hybridMultilevel"/>
    <w:tmpl w:val="6B5AD83A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F05BD"/>
    <w:multiLevelType w:val="hybridMultilevel"/>
    <w:tmpl w:val="E22A1FDA"/>
    <w:lvl w:ilvl="0" w:tplc="BF8E1A28">
      <w:start w:val="1"/>
      <w:numFmt w:val="bullet"/>
      <w:lvlText w:val=""/>
      <w:lvlJc w:val="left"/>
      <w:pPr>
        <w:ind w:left="786" w:hanging="360"/>
      </w:pPr>
      <w:rPr>
        <w:rFonts w:ascii="Times New Roman" w:eastAsia="Andale Sans U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5A138AF"/>
    <w:multiLevelType w:val="hybridMultilevel"/>
    <w:tmpl w:val="AD98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A662E"/>
    <w:multiLevelType w:val="hybridMultilevel"/>
    <w:tmpl w:val="62665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5C38ED"/>
    <w:multiLevelType w:val="hybridMultilevel"/>
    <w:tmpl w:val="7EF626A8"/>
    <w:lvl w:ilvl="0" w:tplc="2C6A3E7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C4BD8"/>
    <w:multiLevelType w:val="hybridMultilevel"/>
    <w:tmpl w:val="DE98E658"/>
    <w:lvl w:ilvl="0" w:tplc="3BFE0B10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FE7218"/>
    <w:multiLevelType w:val="multilevel"/>
    <w:tmpl w:val="0AA4B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54439F7"/>
    <w:multiLevelType w:val="hybridMultilevel"/>
    <w:tmpl w:val="F926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613EB"/>
    <w:multiLevelType w:val="hybridMultilevel"/>
    <w:tmpl w:val="BE2C426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F0120"/>
    <w:multiLevelType w:val="hybridMultilevel"/>
    <w:tmpl w:val="E0FCA13A"/>
    <w:lvl w:ilvl="0" w:tplc="CF94E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55FE6"/>
    <w:multiLevelType w:val="hybridMultilevel"/>
    <w:tmpl w:val="A756339A"/>
    <w:lvl w:ilvl="0" w:tplc="0000000C">
      <w:numFmt w:val="bullet"/>
      <w:lvlText w:val="-"/>
      <w:lvlJc w:val="left"/>
      <w:pPr>
        <w:ind w:left="720" w:hanging="360"/>
      </w:pPr>
      <w:rPr>
        <w:rFonts w:ascii="Garamond" w:hAnsi="Garamon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C3F4E"/>
    <w:multiLevelType w:val="hybridMultilevel"/>
    <w:tmpl w:val="31F01D6C"/>
    <w:lvl w:ilvl="0" w:tplc="785249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8466D"/>
    <w:multiLevelType w:val="hybridMultilevel"/>
    <w:tmpl w:val="F926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E49BB"/>
    <w:multiLevelType w:val="multilevel"/>
    <w:tmpl w:val="4A586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/>
      </w:rPr>
    </w:lvl>
  </w:abstractNum>
  <w:abstractNum w:abstractNumId="16" w15:restartNumberingAfterBreak="0">
    <w:nsid w:val="4D4C20F1"/>
    <w:multiLevelType w:val="multilevel"/>
    <w:tmpl w:val="D9261E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/>
      </w:rPr>
    </w:lvl>
  </w:abstractNum>
  <w:abstractNum w:abstractNumId="17" w15:restartNumberingAfterBreak="0">
    <w:nsid w:val="51AC6D64"/>
    <w:multiLevelType w:val="multilevel"/>
    <w:tmpl w:val="D2F47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 w15:restartNumberingAfterBreak="0">
    <w:nsid w:val="553644E7"/>
    <w:multiLevelType w:val="hybridMultilevel"/>
    <w:tmpl w:val="8814E7E4"/>
    <w:lvl w:ilvl="0" w:tplc="490A691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E689F"/>
    <w:multiLevelType w:val="hybridMultilevel"/>
    <w:tmpl w:val="E7041646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805F3"/>
    <w:multiLevelType w:val="hybridMultilevel"/>
    <w:tmpl w:val="584839AC"/>
    <w:lvl w:ilvl="0" w:tplc="526C7C92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50540"/>
    <w:multiLevelType w:val="multilevel"/>
    <w:tmpl w:val="4A586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/>
      </w:rPr>
    </w:lvl>
  </w:abstractNum>
  <w:abstractNum w:abstractNumId="22" w15:restartNumberingAfterBreak="0">
    <w:nsid w:val="67417773"/>
    <w:multiLevelType w:val="hybridMultilevel"/>
    <w:tmpl w:val="869C9D90"/>
    <w:lvl w:ilvl="0" w:tplc="4740F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3"/>
  </w:num>
  <w:num w:numId="5">
    <w:abstractNumId w:val="20"/>
  </w:num>
  <w:num w:numId="6">
    <w:abstractNumId w:val="9"/>
  </w:num>
  <w:num w:numId="7">
    <w:abstractNumId w:val="8"/>
  </w:num>
  <w:num w:numId="8">
    <w:abstractNumId w:val="14"/>
  </w:num>
  <w:num w:numId="9">
    <w:abstractNumId w:val="0"/>
  </w:num>
  <w:num w:numId="10">
    <w:abstractNumId w:val="6"/>
  </w:num>
  <w:num w:numId="11">
    <w:abstractNumId w:val="18"/>
  </w:num>
  <w:num w:numId="12">
    <w:abstractNumId w:val="4"/>
  </w:num>
  <w:num w:numId="13">
    <w:abstractNumId w:val="13"/>
  </w:num>
  <w:num w:numId="14">
    <w:abstractNumId w:val="2"/>
  </w:num>
  <w:num w:numId="15">
    <w:abstractNumId w:val="1"/>
  </w:num>
  <w:num w:numId="16">
    <w:abstractNumId w:val="12"/>
  </w:num>
  <w:num w:numId="17">
    <w:abstractNumId w:val="21"/>
  </w:num>
  <w:num w:numId="18">
    <w:abstractNumId w:val="15"/>
  </w:num>
  <w:num w:numId="19">
    <w:abstractNumId w:val="17"/>
  </w:num>
  <w:num w:numId="20">
    <w:abstractNumId w:val="19"/>
  </w:num>
  <w:num w:numId="21">
    <w:abstractNumId w:val="5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47"/>
    <w:rsid w:val="000060FB"/>
    <w:rsid w:val="000776B2"/>
    <w:rsid w:val="000A53E1"/>
    <w:rsid w:val="000B557D"/>
    <w:rsid w:val="000C7BB0"/>
    <w:rsid w:val="000D3851"/>
    <w:rsid w:val="00114B74"/>
    <w:rsid w:val="0013694D"/>
    <w:rsid w:val="00152254"/>
    <w:rsid w:val="00164033"/>
    <w:rsid w:val="0018096A"/>
    <w:rsid w:val="00194B46"/>
    <w:rsid w:val="001A06BE"/>
    <w:rsid w:val="001A2A37"/>
    <w:rsid w:val="001B2EF9"/>
    <w:rsid w:val="001D2B62"/>
    <w:rsid w:val="001F3223"/>
    <w:rsid w:val="001F61C2"/>
    <w:rsid w:val="00223493"/>
    <w:rsid w:val="00224F0B"/>
    <w:rsid w:val="00231CD9"/>
    <w:rsid w:val="00237DE0"/>
    <w:rsid w:val="00240C0B"/>
    <w:rsid w:val="002859CC"/>
    <w:rsid w:val="00295DB9"/>
    <w:rsid w:val="002C1DD3"/>
    <w:rsid w:val="002C59E4"/>
    <w:rsid w:val="00324F12"/>
    <w:rsid w:val="0035009E"/>
    <w:rsid w:val="00352977"/>
    <w:rsid w:val="003534F7"/>
    <w:rsid w:val="00386E07"/>
    <w:rsid w:val="00395BD4"/>
    <w:rsid w:val="003A560B"/>
    <w:rsid w:val="003D4B75"/>
    <w:rsid w:val="003D741C"/>
    <w:rsid w:val="003F0CBE"/>
    <w:rsid w:val="004400C3"/>
    <w:rsid w:val="00454C19"/>
    <w:rsid w:val="004808BE"/>
    <w:rsid w:val="004941D7"/>
    <w:rsid w:val="004A2867"/>
    <w:rsid w:val="004A58EA"/>
    <w:rsid w:val="004A7AE0"/>
    <w:rsid w:val="004B0342"/>
    <w:rsid w:val="004F29F6"/>
    <w:rsid w:val="00533930"/>
    <w:rsid w:val="00547EEC"/>
    <w:rsid w:val="00554E17"/>
    <w:rsid w:val="005F1210"/>
    <w:rsid w:val="0060542B"/>
    <w:rsid w:val="00616EB0"/>
    <w:rsid w:val="00624661"/>
    <w:rsid w:val="00627107"/>
    <w:rsid w:val="00642847"/>
    <w:rsid w:val="0064363A"/>
    <w:rsid w:val="00646364"/>
    <w:rsid w:val="00646386"/>
    <w:rsid w:val="00657406"/>
    <w:rsid w:val="00660EC8"/>
    <w:rsid w:val="0066779F"/>
    <w:rsid w:val="006B5A2C"/>
    <w:rsid w:val="0071593F"/>
    <w:rsid w:val="00747148"/>
    <w:rsid w:val="00760E5D"/>
    <w:rsid w:val="007852B4"/>
    <w:rsid w:val="007C640D"/>
    <w:rsid w:val="007D0AD6"/>
    <w:rsid w:val="0081434E"/>
    <w:rsid w:val="00825279"/>
    <w:rsid w:val="008510BD"/>
    <w:rsid w:val="008707A9"/>
    <w:rsid w:val="0087371A"/>
    <w:rsid w:val="008A201F"/>
    <w:rsid w:val="008D312C"/>
    <w:rsid w:val="0090687E"/>
    <w:rsid w:val="00931AF1"/>
    <w:rsid w:val="009709C4"/>
    <w:rsid w:val="00975846"/>
    <w:rsid w:val="009A08D5"/>
    <w:rsid w:val="009A4DDC"/>
    <w:rsid w:val="009C6EC6"/>
    <w:rsid w:val="009C742E"/>
    <w:rsid w:val="009E7D48"/>
    <w:rsid w:val="009F19B2"/>
    <w:rsid w:val="00A0706B"/>
    <w:rsid w:val="00A51159"/>
    <w:rsid w:val="00A52DF0"/>
    <w:rsid w:val="00A5385D"/>
    <w:rsid w:val="00A834D1"/>
    <w:rsid w:val="00AA2D67"/>
    <w:rsid w:val="00AE54B6"/>
    <w:rsid w:val="00AE5B6F"/>
    <w:rsid w:val="00AF5AA8"/>
    <w:rsid w:val="00B03380"/>
    <w:rsid w:val="00B73FE8"/>
    <w:rsid w:val="00BB4E0E"/>
    <w:rsid w:val="00BC5409"/>
    <w:rsid w:val="00C04CC0"/>
    <w:rsid w:val="00C117D0"/>
    <w:rsid w:val="00C21978"/>
    <w:rsid w:val="00C470E2"/>
    <w:rsid w:val="00C7744C"/>
    <w:rsid w:val="00C81E93"/>
    <w:rsid w:val="00C9649A"/>
    <w:rsid w:val="00CA3C21"/>
    <w:rsid w:val="00CE1726"/>
    <w:rsid w:val="00CE7323"/>
    <w:rsid w:val="00CF452A"/>
    <w:rsid w:val="00D54217"/>
    <w:rsid w:val="00D57243"/>
    <w:rsid w:val="00D9204E"/>
    <w:rsid w:val="00DC5B51"/>
    <w:rsid w:val="00DD2116"/>
    <w:rsid w:val="00DE05DC"/>
    <w:rsid w:val="00E23044"/>
    <w:rsid w:val="00E66CFD"/>
    <w:rsid w:val="00E91C6A"/>
    <w:rsid w:val="00EE663D"/>
    <w:rsid w:val="00F0139B"/>
    <w:rsid w:val="00F041B5"/>
    <w:rsid w:val="00F10EC2"/>
    <w:rsid w:val="00F15E12"/>
    <w:rsid w:val="00F40EE3"/>
    <w:rsid w:val="00F54ED8"/>
    <w:rsid w:val="00F70416"/>
    <w:rsid w:val="00F714C0"/>
    <w:rsid w:val="00F91FC9"/>
    <w:rsid w:val="00FA1E6D"/>
    <w:rsid w:val="00FE048F"/>
    <w:rsid w:val="00FE31CC"/>
    <w:rsid w:val="00FE45B4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C69FA"/>
  <w15:chartTrackingRefBased/>
  <w15:docId w15:val="{8224E1A1-1EC8-4185-A9C2-850D1792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2nd Paragraph"/>
    <w:qFormat/>
    <w:rsid w:val="00F70416"/>
    <w:rPr>
      <w:rFonts w:eastAsiaTheme="minorEastAsi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E5B6F"/>
    <w:pPr>
      <w:widowControl w:val="0"/>
      <w:spacing w:before="240" w:after="120" w:line="240" w:lineRule="auto"/>
      <w:outlineLvl w:val="0"/>
    </w:pPr>
    <w:rPr>
      <w:rFonts w:ascii="Segoe UI" w:eastAsia="Arial" w:hAnsi="Segoe U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5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B6"/>
  </w:style>
  <w:style w:type="paragraph" w:styleId="Footer">
    <w:name w:val="footer"/>
    <w:basedOn w:val="Normal"/>
    <w:link w:val="FooterChar"/>
    <w:uiPriority w:val="99"/>
    <w:unhideWhenUsed/>
    <w:rsid w:val="00AE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B6"/>
  </w:style>
  <w:style w:type="paragraph" w:customStyle="1" w:styleId="Standard">
    <w:name w:val="Standard"/>
    <w:rsid w:val="002C5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39"/>
    <w:rsid w:val="00D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0AD6"/>
    <w:rPr>
      <w:color w:val="0563C1" w:themeColor="hyperlink"/>
      <w:u w:val="single"/>
    </w:rPr>
  </w:style>
  <w:style w:type="paragraph" w:customStyle="1" w:styleId="Default">
    <w:name w:val="Default"/>
    <w:rsid w:val="007D0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3D4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B75"/>
    <w:rPr>
      <w:b/>
      <w:bCs/>
      <w:sz w:val="20"/>
      <w:szCs w:val="20"/>
    </w:rPr>
  </w:style>
  <w:style w:type="paragraph" w:customStyle="1" w:styleId="Chapter">
    <w:name w:val="Chapter"/>
    <w:basedOn w:val="Normal"/>
    <w:link w:val="ChapterChar"/>
    <w:rsid w:val="00975846"/>
    <w:pPr>
      <w:keepNext/>
    </w:pPr>
    <w:rPr>
      <w:b/>
      <w:bCs/>
    </w:rPr>
  </w:style>
  <w:style w:type="character" w:customStyle="1" w:styleId="ChapterChar">
    <w:name w:val="Chapter Char"/>
    <w:link w:val="Chapter"/>
    <w:rsid w:val="00975846"/>
    <w:rPr>
      <w:rFonts w:eastAsiaTheme="minorEastAsia"/>
      <w:b/>
      <w:bCs/>
      <w:lang w:val="en-US"/>
    </w:rPr>
  </w:style>
  <w:style w:type="paragraph" w:styleId="NoSpacing">
    <w:name w:val="No Spacing"/>
    <w:uiPriority w:val="1"/>
    <w:qFormat/>
    <w:rsid w:val="00975846"/>
    <w:pPr>
      <w:spacing w:after="0" w:line="240" w:lineRule="auto"/>
    </w:pPr>
    <w:rPr>
      <w:rFonts w:eastAsiaTheme="minorEastAsia"/>
      <w:lang w:val="en-US"/>
    </w:rPr>
  </w:style>
  <w:style w:type="paragraph" w:styleId="BodyText">
    <w:name w:val="Body Text"/>
    <w:aliases w:val="Guidelines title"/>
    <w:basedOn w:val="Normal"/>
    <w:link w:val="BodyTextChar"/>
    <w:rsid w:val="00975846"/>
    <w:pPr>
      <w:spacing w:after="120" w:line="240" w:lineRule="auto"/>
    </w:pPr>
    <w:rPr>
      <w:rFonts w:ascii="Arial Narrow" w:eastAsia="Times New Roman" w:hAnsi="Arial Narrow" w:cs="Times New Roman"/>
      <w:sz w:val="24"/>
      <w:szCs w:val="20"/>
      <w:lang w:val="en-GB"/>
    </w:rPr>
  </w:style>
  <w:style w:type="character" w:customStyle="1" w:styleId="BodyTextChar">
    <w:name w:val="Body Text Char"/>
    <w:aliases w:val="Guidelines title Char"/>
    <w:basedOn w:val="DefaultParagraphFont"/>
    <w:link w:val="BodyText"/>
    <w:rsid w:val="00975846"/>
    <w:rPr>
      <w:rFonts w:ascii="Arial Narrow" w:eastAsia="Times New Roman" w:hAnsi="Arial Narrow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AE5B6F"/>
    <w:rPr>
      <w:rFonts w:ascii="Segoe UI" w:eastAsia="Arial" w:hAnsi="Segoe UI"/>
      <w:b/>
      <w:bCs/>
      <w:caps/>
      <w:sz w:val="28"/>
      <w:szCs w:val="28"/>
      <w:lang w:val="en-US"/>
    </w:rPr>
  </w:style>
  <w:style w:type="character" w:styleId="SubtleEmphasis">
    <w:name w:val="Subtle Emphasis"/>
    <w:basedOn w:val="DefaultParagraphFont"/>
    <w:uiPriority w:val="19"/>
    <w:qFormat/>
    <w:rsid w:val="00AE5B6F"/>
    <w:rPr>
      <w:i/>
      <w:iCs/>
      <w:color w:val="7F7F7F" w:themeColor="text1" w:themeTint="80"/>
      <w:spacing w:val="-4"/>
      <w:sz w:val="20"/>
    </w:rPr>
  </w:style>
  <w:style w:type="paragraph" w:customStyle="1" w:styleId="Tabela">
    <w:name w:val="Tabela"/>
    <w:basedOn w:val="Normal"/>
    <w:qFormat/>
    <w:rsid w:val="00AE5B6F"/>
    <w:pPr>
      <w:spacing w:after="0" w:line="240" w:lineRule="auto"/>
    </w:pPr>
    <w:rPr>
      <w:rFonts w:ascii="Arial" w:eastAsiaTheme="minorHAnsi" w:hAnsi="Arial"/>
      <w:sz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AE5B6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E05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57C6623-8277-4A05-869F-9319EB71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Temenugova</dc:creator>
  <cp:keywords/>
  <dc:description/>
  <cp:lastModifiedBy>leyla saban</cp:lastModifiedBy>
  <cp:revision>8</cp:revision>
  <cp:lastPrinted>2020-02-26T11:43:00Z</cp:lastPrinted>
  <dcterms:created xsi:type="dcterms:W3CDTF">2020-09-11T18:05:00Z</dcterms:created>
  <dcterms:modified xsi:type="dcterms:W3CDTF">2020-09-17T11:12:00Z</dcterms:modified>
</cp:coreProperties>
</file>